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-443865</wp:posOffset>
                </wp:positionV>
                <wp:extent cx="2245360" cy="276225"/>
                <wp:effectExtent l="10160" t="13335" r="1143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691" w:rsidRDefault="005A1691" w:rsidP="005A16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3pt;margin-top:-34.95pt;width:176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" strokecolor="white">
                <v:textbox style="mso-fit-shape-to-text:t">
                  <w:txbxContent>
                    <w:p w:rsidR="005A1691" w:rsidRDefault="005A1691" w:rsidP="005A169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683895" cy="814705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</w:pP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городская Дума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</w:pP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городского округа Кинешма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</w:pP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седьмого созыва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</w:pP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РЕШЕНИЕ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</w:pP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от 28.09.2022</w:t>
      </w:r>
      <w:r w:rsidRPr="005A1691"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t xml:space="preserve"> </w:t>
      </w:r>
      <w:r w:rsidRPr="005A1691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t>№47/232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</w:pPr>
    </w:p>
    <w:p w:rsidR="005A1691" w:rsidRPr="005A1691" w:rsidRDefault="005A1691" w:rsidP="005A169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 xml:space="preserve">Об утверждении Реестра наказов избирателей депутатам </w:t>
      </w:r>
    </w:p>
    <w:p w:rsidR="005A1691" w:rsidRPr="005A1691" w:rsidRDefault="005A1691" w:rsidP="005A169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городской Думы городского округа Кинешма на 2023 год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Lucida Sans Unicode" w:hAnsi="Arial" w:cs="Arial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В целях реализации наказов избирателей депутатам городской Думы городского округа Кинешма, руководствуясь Федеральным законом от 06.10.2003 N 131-ФЗ «Об общих принципах организации местного самоуправления в Российской Федерации», Уставом муниципального образования «Городской округ Кинешма», </w:t>
      </w:r>
    </w:p>
    <w:p w:rsidR="005A1691" w:rsidRPr="005A1691" w:rsidRDefault="005A1691" w:rsidP="005A1691">
      <w:pPr>
        <w:keepNext/>
        <w:widowControl w:val="0"/>
        <w:suppressAutoHyphens/>
        <w:spacing w:after="0" w:line="240" w:lineRule="auto"/>
        <w:ind w:firstLine="567"/>
        <w:jc w:val="both"/>
        <w:outlineLvl w:val="0"/>
        <w:rPr>
          <w:rFonts w:ascii="Calibri" w:eastAsia="Lucida Sans Unicode" w:hAnsi="Calibri" w:cs="Times New Roman"/>
          <w:kern w:val="1"/>
          <w:sz w:val="28"/>
          <w:szCs w:val="28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городская Дума городского округа Кинешма решила: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rPr>
          <w:rFonts w:ascii="Arial" w:eastAsia="Lucida Sans Unicode" w:hAnsi="Arial" w:cs="Arial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1. Утвердить Реестр наказов избирателей депутатам городской Думы городского округа Кинешма на 2023 год </w:t>
      </w: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(</w:t>
      </w:r>
      <w:hyperlink r:id="rId6" w:anchor="sub_1000" w:history="1">
        <w:r w:rsidRPr="005A1691">
          <w:rPr>
            <w:rFonts w:ascii="Times New Roman" w:eastAsia="Lucida Sans Unicode" w:hAnsi="Times New Roman" w:cs="Times New Roman"/>
            <w:bCs/>
            <w:kern w:val="1"/>
            <w:sz w:val="28"/>
            <w:szCs w:val="28"/>
            <w:lang/>
          </w:rPr>
          <w:t>приложение</w:t>
        </w:r>
      </w:hyperlink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).</w:t>
      </w:r>
    </w:p>
    <w:p w:rsidR="005A1691" w:rsidRPr="005A1691" w:rsidRDefault="005A1691" w:rsidP="005A16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1691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3. 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r w:rsidRPr="005A16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A169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16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постоянные комиссии городской Думы городского округа Кинешма и главу городского округа Кинешма.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ind w:firstLine="720"/>
        <w:rPr>
          <w:rFonts w:ascii="Arial" w:eastAsia="Lucida Sans Unicode" w:hAnsi="Arial" w:cs="Arial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Председатель городской Думы</w:t>
      </w:r>
    </w:p>
    <w:p w:rsidR="005A1691" w:rsidRPr="005A1691" w:rsidRDefault="005A1691" w:rsidP="005A1691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 xml:space="preserve">городского округа Кинешма                                                      </w:t>
      </w:r>
      <w:proofErr w:type="spellStart"/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М.А.Батин</w:t>
      </w:r>
      <w:proofErr w:type="spellEnd"/>
    </w:p>
    <w:p w:rsidR="005A1691" w:rsidRPr="005A1691" w:rsidRDefault="005A1691" w:rsidP="005A1691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sectPr w:rsidR="005A1691" w:rsidRPr="005A1691" w:rsidSect="00F930B8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A1691" w:rsidRPr="005A1691" w:rsidRDefault="005A1691" w:rsidP="005A169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  <w:lastRenderedPageBreak/>
        <w:t>Приложение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  <w:t>к решению городской Думы городского округа Кинешма</w:t>
      </w:r>
    </w:p>
    <w:p w:rsidR="005A1691" w:rsidRPr="005A1691" w:rsidRDefault="005A1691" w:rsidP="0004704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</w:pPr>
      <w:r w:rsidRPr="005A1691"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4704C"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  <w:t xml:space="preserve">                 </w:t>
      </w:r>
      <w:r w:rsidRPr="005A1691">
        <w:rPr>
          <w:rFonts w:ascii="Times New Roman" w:eastAsia="Lucida Sans Unicode" w:hAnsi="Times New Roman" w:cs="Times New Roman"/>
          <w:kern w:val="1"/>
          <w:sz w:val="24"/>
          <w:szCs w:val="26"/>
          <w:lang/>
        </w:rPr>
        <w:t>от 28.09.2022 №47/232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Реестр наказов избирателей депутатам городской Думы</w:t>
      </w:r>
    </w:p>
    <w:p w:rsidR="005A1691" w:rsidRPr="005A1691" w:rsidRDefault="005A1691" w:rsidP="005A16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  <w:r w:rsidRPr="005A1691"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  <w:t>городского округа Кинешма на 2023 год</w:t>
      </w:r>
    </w:p>
    <w:p w:rsidR="005A1691" w:rsidRPr="005A1691" w:rsidRDefault="005A1691" w:rsidP="005A16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kern w:val="1"/>
          <w:sz w:val="24"/>
          <w:szCs w:val="24"/>
          <w:lang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4819"/>
        <w:gridCol w:w="4253"/>
        <w:gridCol w:w="1701"/>
        <w:gridCol w:w="1559"/>
        <w:gridCol w:w="1559"/>
      </w:tblGrid>
      <w:tr w:rsidR="00CD71B7" w:rsidRPr="005A1691" w:rsidTr="0004704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20" w:lineRule="exact"/>
              <w:ind w:left="-108" w:right="-108" w:firstLine="108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20" w:lineRule="exact"/>
              <w:ind w:left="-108" w:right="-108" w:firstLine="108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п</w:t>
            </w:r>
            <w:proofErr w:type="gramEnd"/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lang w:eastAsia="ru-RU"/>
              </w:rPr>
            </w:pPr>
            <w:proofErr w:type="spellStart"/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lang w:eastAsia="ru-RU"/>
              </w:rPr>
              <w:t>Избира</w:t>
            </w:r>
            <w:proofErr w:type="spellEnd"/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lang w:eastAsia="ru-RU"/>
              </w:rPr>
              <w:t>тельный округ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Наименование и адрес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Вид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Заказчик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Сумма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proofErr w:type="spellStart"/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Примеча</w:t>
            </w:r>
            <w:proofErr w:type="spellEnd"/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proofErr w:type="spellStart"/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</w:pPr>
            <w:r w:rsidRPr="005A1691">
              <w:rPr>
                <w:rFonts w:ascii="Times New Roman CYR" w:eastAsia="Times New Roman" w:hAnsi="Times New Roman CYR" w:cs="Times New Roman CYR"/>
                <w:b/>
                <w:kern w:val="1"/>
                <w:sz w:val="28"/>
                <w:szCs w:val="28"/>
                <w:lang w:eastAsia="ru-RU"/>
              </w:rPr>
              <w:t>7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ул. </w:t>
            </w:r>
            <w:proofErr w:type="spellStart"/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Наволокская</w:t>
            </w:r>
            <w:proofErr w:type="spellEnd"/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, д.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Устройство сетей уличного освещения на детской и спортивной площадках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ПСД-140,00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в 2024г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ул. Григория Цветкова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en-US"/>
              </w:rPr>
              <w:t>Устройство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СМР-801,00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в 2022г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Проезд от ул. 1-я </w:t>
            </w:r>
            <w:proofErr w:type="gramStart"/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Заречная</w:t>
            </w:r>
            <w:proofErr w:type="gramEnd"/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д.31 до ул. 2-я Заречная (переход через овраг).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Проезд от ул. Заречная д.17 до ул. 2-я Заречная (переход через овраг)</w:t>
            </w:r>
            <w:proofErr w:type="gramStart"/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.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en-US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en-US"/>
              </w:rPr>
              <w:t xml:space="preserve">Устройство сетей уличного освещения </w:t>
            </w:r>
          </w:p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в 2024г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Переулок Баумана (от ул. Социалистическая до ул. Желябова)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Установка сетей уличного освещения, с учетом освещения стадиона и детской площадки, расположенных на бывшей территории «Интернат»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ПСД-199,00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СМР-801,00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 xml:space="preserve">ул. В. Боборыкина от д. 41 до д.47 на отсутствующих участках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 xml:space="preserve">Организация наружного освещения 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-99,00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СМР-433,70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Возле МБДОУ д/с 15 и детской площадки возле дома №72 по ул. Менделеева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Организация наружного освещения 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ПСД-45,00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СМР-183,50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Возле детской площадки расположенной  между домами №18а №14а по ул. Гагарина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Организация наружного освещения 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ПСД-30,00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Касимихинская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(от дома № 16 до пересечения с улицей Фабричная)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отсыпка инертными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– 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Гагарина, д.3, д.3а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Асфальтирование части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Красноветкинская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 д.21а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Установка детской песочницы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- 60,00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Красноветкинская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 д.19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Асфальтирование пешеходной дорожки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СМР- 320,00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Фабричный двор, д.11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Устройство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ПСД- 68,00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ул. Воеводы Боборыкина, д.29 Б.</w:t>
            </w:r>
          </w:p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Благоустройство подъездных путей к дому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Ремонт проезда (укладка асфальтобетонного покрытия).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СМР–600,00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ул. им. Менделеева д.№ 3А (от дома № 3А по ул. им. Менделеева до центральной дороги ул. им. Менделеева)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Асфальтирование участка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(от домов № 22, 24 до поселка Нефтебаза д. № 2) и по 3-му Ильинскому переулку (длина участка дороги около 450м)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Ремонт дороги (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подсыпка)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Ивана Седова от д. № 2 до д. № 6 по ул. 50-летия Комсомола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Устройство тротуара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ул. Палехская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en-US"/>
              </w:rPr>
              <w:t>Устройство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ПСД-133,00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СМР-584,00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ул. Суздальская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Восстановление водоотводной канавы на ул. Суздальская, укладка водоотводящих труб на пересечении улиц Суздальская с ул. Палехская и Лесная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Дорога (межквартальный проезд) ул. им. Юрия Горохова от дома № 2 до дома № 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Асфальтирование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СМР-631,00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Тротуар от ул. им. Юрия Горохова д.6а до ул. Щорса д.5 вдоль территории МБДОУ (ЦРР-детский сад №23)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Асфальтирование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Онежская (от ул. Курская  до конца улицы)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Ремонт дороги (подсыпка и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Красный Химик, от дома № 128 до дома № 50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отсыпка инертными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Южская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от дома № 25 до дома №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подсыпка щебнем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от пересечения ул. 3-я </w:t>
            </w:r>
            <w:proofErr w:type="gram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Районная</w:t>
            </w:r>
            <w:proofErr w:type="gram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ул. 3-я Запрудная к домам № 8 и №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 xml:space="preserve">Установка </w:t>
            </w:r>
            <w:r w:rsidRPr="005A1691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/>
              </w:rPr>
              <w:t>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– 24,00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Грудчихинская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от дома № 41-33, № 27-15, № 11-9, № 5 до коллективных садов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Ремонт дороги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грейдирование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и подсыпка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СМР-672,00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Прокатная</w:t>
            </w:r>
            <w:proofErr w:type="gram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между домами № 9 и №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Установка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ПСД-61,00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СМР-267,00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МБОУ школа №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Укрепление материально-технической базы школы, установка счетчика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МБОУ школа №10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-150,00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переход от многоквартирных домов по ул. Ермака 1а, 1б до многоквартирных домов №2 и № 2Б по улице Спортивной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Восстановление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ПСД-152,00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ул. Третьяковская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Установка сетей уличного освещения 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(второй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и часть СМР в 2022г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ул. Войкова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Устройство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в 2020г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 xml:space="preserve">ул. </w:t>
            </w:r>
            <w:proofErr w:type="gram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Морская</w:t>
            </w:r>
            <w:proofErr w:type="gram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 xml:space="preserve"> от дома №1 до д.11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Устройство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в 2021г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Тимирязева от дома №85 до дома №159/61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Устройство сетей уличного освещения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ПСД-152,00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СМР-667,00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ул. Льва Толстого от дома №1 до дома №18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Устройство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- 80,00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в 2024г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Невельского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на отрезке от дома №18 </w:t>
            </w:r>
          </w:p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до дома № 36/39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Устройство сетей уличного освещения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ПСД-110,00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 в 2024г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  <w:t>ул. Ключевая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Благоустройство дороги по ул. </w:t>
            </w:r>
            <w:proofErr w:type="gram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Ключевая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 УГХ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Красноволжец</w:t>
            </w:r>
            <w:proofErr w:type="spellEnd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от д.№ 17 до д. №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Устройство сетей уличного освещения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МКУ «ГУС»</w:t>
            </w:r>
          </w:p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СМР-334,00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ПСД в 2020г</w:t>
            </w:r>
          </w:p>
        </w:tc>
      </w:tr>
      <w:tr w:rsidR="00CD71B7" w:rsidRPr="005A1691" w:rsidTr="000470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от начала дома № 1а по ул. Кирпичная до конца дома № 102 по ул. </w:t>
            </w:r>
            <w:proofErr w:type="spellStart"/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А.Макарова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Восстановление тротуара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СМР-666,00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5A1691" w:rsidRPr="005A1691" w:rsidTr="0004704C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91" w:rsidRPr="005A1691" w:rsidRDefault="005A1691" w:rsidP="005A16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5A1691">
              <w:rPr>
                <w:rFonts w:ascii="Times New Roman" w:eastAsia="Lucida Sans Unicode" w:hAnsi="Times New Roman" w:cs="Times New Roman"/>
                <w:b/>
                <w:color w:val="22272F"/>
                <w:kern w:val="1"/>
                <w:sz w:val="24"/>
                <w:szCs w:val="24"/>
                <w:shd w:val="clear" w:color="auto" w:fill="FFFFFF"/>
                <w:lang/>
              </w:rPr>
              <w:t>ВСЕГО 20010,00 тыс. рублей</w:t>
            </w:r>
          </w:p>
        </w:tc>
      </w:tr>
    </w:tbl>
    <w:p w:rsidR="005A1691" w:rsidRPr="005A1691" w:rsidRDefault="005A1691" w:rsidP="0004704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0" w:name="_GoBack"/>
      <w:bookmarkEnd w:id="0"/>
    </w:p>
    <w:sectPr w:rsidR="005A1691" w:rsidRPr="005A1691" w:rsidSect="002254D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C4" w:rsidRDefault="00DE05A4" w:rsidP="00F3391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9"/>
    <w:rsid w:val="0004704C"/>
    <w:rsid w:val="00081B5E"/>
    <w:rsid w:val="002254D8"/>
    <w:rsid w:val="00390C39"/>
    <w:rsid w:val="004D3433"/>
    <w:rsid w:val="005A1691"/>
    <w:rsid w:val="00C468DD"/>
    <w:rsid w:val="00CD71B7"/>
    <w:rsid w:val="00D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../../../user/&#1043;&#1086;&#1083;&#1091;&#1073;&#1077;&#1074;&#1072;/&#1055;&#1056;&#1054;&#1045;&#1050;&#1058;&#1067;/2011_&#1075;&#1086;&#1076;/28.09.2011/&#1055;&#1056;&#1044;_&#1088;&#1077;&#1077;&#1089;&#1090;&#1088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2022-10-04T06:28:00Z</dcterms:created>
  <dcterms:modified xsi:type="dcterms:W3CDTF">2022-10-04T06:36:00Z</dcterms:modified>
</cp:coreProperties>
</file>